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中华人民共和国境外非政府组织境内活动管理法(2017年修正版)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(2015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rPr>
        <w:t>27</w:t>
      </w:r>
      <w:r>
        <w:rPr>
          <w:rFonts w:hint="eastAsia" w:ascii="仿宋_GB2312" w:hAnsi="仿宋_GB2312" w:eastAsia="仿宋_GB2312" w:cs="仿宋_GB2312"/>
          <w:sz w:val="32"/>
          <w:szCs w:val="32"/>
        </w:rPr>
        <w:t>日第十二届全国人民代表大会常务委员会第十八次会议通过</w:t>
      </w:r>
      <w:r>
        <w:rPr>
          <w:rFonts w:hint="eastAsia" w:ascii="仿宋_GB2312" w:hAnsi="仿宋_GB2312" w:eastAsia="仿宋_GB2312" w:cs="仿宋_GB2312"/>
          <w:sz w:val="32"/>
          <w:szCs w:val="32"/>
          <w:lang w:val="en-US"/>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目录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第一章总则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第二章恐怖活动组织和人员的认定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第三章安全防范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第四章情报信息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第五章调查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第六章应对处置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第七章国际合作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第八章保障措施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第九章法律责任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第十章附则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第一条为了防范和惩治恐怖活动，加强反恐怖主义工作，维护国家安全、公共安全和人民生命财产安全，根据宪法，制定本法。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国家反对一切形式的恐怖主义，依法取缔恐怖活动组织，对任何组织、策划、准备实施、实施恐怖活动，宣扬恐怖主义，煽动实施恐怖活动，组织、领导、参加恐怖活动组织，为恐怖活动提供帮助的，依法追究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国家不向任何恐怖活动组织和人员作出妥协，不向任何恐怖活动人员提供庇护或者给予难民地位。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第三条本法所称恐怖主义，是指通过暴力、破坏、恐吓等手段，制造社会恐慌、危害公共安全、侵犯人身财产，或者胁迫国家机关、国际组织，以实现其政治、意识形态等目的的主张和行为。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本法所称恐怖活动，是指恐怖主义性质的下列行为：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组织、策划、准备实施、实施造成或者意图造成人员伤亡、重大财产损失、公共设施损坏、社会秩序混乱等严重社会危害的活动的；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宣扬恐怖主义，煽动实施恐怖活动，或者非法持有宣扬恐怖主义的物品，强制他人在公共场所穿戴宣扬恐怖主义的服饰、标志的；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组织、领导、参加恐怖活动组织的；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为恐怖活动组织、恐怖活动人员、实施恐怖活动或者恐怖活动培训提供信息、资金、物资、劳务、技术、场所等支持、协助、便利的；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其他恐怖活动。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本法所称恐怖活动组织，是指三人以上为实施恐怖活动而组成的犯罪组织。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本法所称恐怖活动人员，是指实施恐怖活动的人和恐怖活动组织的成员。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本法所称恐怖事件，是指正在发生或者已经发生的造成或者可能造成重大社会危害的恐怖活动。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第四条国家将反恐怖主义纳入国家安全战略，综合施策，标本兼治，加强反恐怖主义的能力建设，运用政治、经济、法律、文化、教育、外交、军事等手段，开展反恐怖主义工作。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国家反对一切形式的以歪曲宗教教义或者其他方法煽动仇恨、煽动歧视、鼓吹暴力等极端主义，消除恐怖主义的思想基础。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第五条反恐怖主义工作坚持专门工作与群众路线相结合，防范为主、惩防结合和先发制敌、保持主动的原则。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第六条反恐怖主义工作应当依法进行，尊重和保障人权，维护公民和组织的合法权益。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在反恐怖主义工作中，应当尊重公民的宗教信仰自由和民族风俗习惯，禁止任何基于地域、民族、宗教等理由的歧视性做法。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第七条国家设立反恐怖主义工作领导机构，统一领导和指挥全国反恐怖主义工作。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设区的市级以上地方人民政府设立反恐怖主义工作领导机构，县级人民政府根据需要设立反恐怖主义工作领导机构，在上级反恐怖主义工作领导机构的领导和指挥下，负责本地区反恐怖主义工作。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第八条公安机关、国家安全机关和人民检察院、人民法院、司法行政机关以及其他有关国家机关，应当根据分工，实行工作责任制，依法做好反恐怖主义工作。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中国人民解放军、中国人民武装警察部队和民兵组织依照本法和其他有关法律、行政法规、军事法规以及国务院、中央军事委员会的命令，并根据反恐怖主义工作领导机构的部署，防范和处置恐怖活动。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有关部门应当建立联动配合机制，依靠、动员村民委员会、居民委员会、企业事业单位、社会组织，共同开展反恐怖主义工作。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第九条任何单位和个人都有协助、配合有关部门开展反恐怖主义工作的义务，发现恐怖活动嫌疑或者恐怖活动嫌疑人员的，应当及时向公安机关或者有关部门报告。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第十条对举报恐怖活动或者协助防范、制止恐怖活动有突出贡献的单位和个人，以及在反恐怖主义工作中作出其他突出贡献的单位和个人，按照国家有关规定给予表彰、奖励。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恐怖活动组织和人员的认定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第十二条国家反恐怖主义工作领导机构根据本法第三条的规定，认定恐怖活动组织和人员，由国家反恐怖主义工作领导机构的办事机构予以公告。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第十三条国务院公安部门、国家安全部门、外交部门和省级反恐怖主义工作领导机构对于需要认定恐怖活动组织和人员的，应当向国家反恐怖主义工作领导机构提出申请。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被认定的恐怖活动组织和人员对认定不服的，可以通过国家反恐怖主义工作领导机构的办事机构申请复核。国家反恐怖主义工作领导机构应当及时进行复核，作出维持或者撤销认定的决定。复核决定为最终决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国家反恐怖主义工作领导机构作出撤销认定的决定的，由国家反恐怖主义工作领导机构的办事机构予以公告；资金、资产已被冻结的，应当解除冻结。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第三章 安全防范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第十七条各级人民政府和有关部门应当组织开展反恐怖主义宣传教育，提高公民的反恐怖主义意识。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教育、人力资源行政主管部门和学校、有关职业培训机构应当将恐怖活动预防、应急知识纳入教育、教学、培训的内容。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新闻、广播、电视、文化、宗教、互联网等有关单位，应当有针对性地面向社会进行反恐怖主义宣传教育。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村民委员会、居民委员会应当协助人民政府以及有关部门，加强反恐怖主义宣传教育。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第十八条电信业务经营者、互联网服务提供者应当为公安机关、国家安全机关依法进行防范、调查恐怖活动提供技术接口和解密等技术支持和协助。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前款规定的物流运营单位，应当实行运输、寄递客户身份、物品信息登记制度。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第二十一条电信、互联网、金融、住宿、长途客运、机动车租赁等业务经营者、服务提供者，应当对客户身份进行查验。对身份不明或者拒绝身份查验的，不得提供服务。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第二十二条生产和进口单位应当依照规定对枪支等武器、弹药、管制器具、危险化学品、民用爆炸物品、核与放射物品作出电子追踪标识，对民用爆炸物品添加安检示踪标识物。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运输单位应当依照规定对运营中的危险化学品、民用爆炸物品、核与放射物品的运输工具通过定位系统实行监控。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有关单位应当依照规定对传染病病原体等物质实行严格的监督管理，严密防范传染病病原体等物质扩散或者流入非法渠道。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第二十四条国务院反洗钱行政主管部门、国务院有关部门、机构依法对金融机构和特定非金融机构履行反恐怖主义融资义务的情况进行监督管理。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国务院反洗钱行政主管部门发现涉嫌恐怖主义融资的，可以依法进行调查，采取临时冻结措施。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第二十五条审计、财政、税务等部门在依照法律、行政法规的规定对有关单位实施监督检查的过程中，发现资金流入流出涉嫌恐怖主义融资的，应当及时通报公安机关。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第二十六条海关在对进出境人员携带现金和无记名有价证券实施监管的过程中，发现涉嫌恐怖主义融资的，应当立即通报国务院反洗钱行政主管部门和有管辖权的公安机关。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第二十七条地方各级人民政府制定、组织实施城乡规划，应当符合反恐怖主义工作的需要。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地方各级人民政府应当根据需要，组织、督促有关建设单位在主要道路、交通枢纽、城市公共区域的重点部位，配备、安装公共安全视频图像信息系统等防范恐怖袭击的技防、物防设备、设施。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第二十八条公安机关和有关部门对宣扬极端主义，利用极端主义危害公共安全、扰乱公共秩序、侵犯人身财产、妨害社会管理的，应当及时予以制止，依法追究法律责任。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公安机关发现极端主义活动的，应当责令立即停止，将有关人员强行带离现场并登记身份信息，对有关物品、资料予以收缴，对非法活动场所予以查封。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任何单位和个人发现宣扬极端主义的物品、资料、信息的，应当立即向公安机关报告。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人民检察院对安置教育的决定和执行实行监督。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第三十二条重点目标的管理单位应当履行下列职责：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制定防范和应对处置恐怖活动的预案、措施，定期进行培训和演练；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建立反恐怖主义工作专项经费保障制度，配备、更新防范和处置设备、设施；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指定相关机构或者落实责任人员，明确岗位职责；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实行风险评估，实时监测安全威胁，完善内部安全管理；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定期向公安机关和有关部门报告防范措施落实情况。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重点目标的管理单位应当根据城乡规划、相关标准和实际需要，对重点目标同步设计、同步建设、同步运行符合本法第二十七条规定的技防、物防设备、设施。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重点目标的管理单位应当建立公共安全视频图像信息系统值班监看、信息保存使用、运行维护等管理制度，保障相关系统正常运行。采集的视频图像信息保存期限不得少于九十日。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对重点目标以外的涉及公共安全的其他单位、场所、活动、设施，其主管部门和管理单位应当依照法律、行政法规规定，建立健全安全管理制度，落实安全责任。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第三十三条重点目标的管理单位应当对重要岗位人员进行安全背景审查。对有不适合情形的人员，应当调整工作岗位，并将有关情况通报公安机关。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第三十五条对航空器、列车、船舶、城市轨道车辆、公共电汽车等公共交通运输工具，营运单位应当依照规定配备安保人员和相应设备、设施，加强安全检查和保卫工作。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第三十六条公安机关和有关部门应当掌握重点目标的基础信息和重要动态，指导、监督重点目标的管理单位履行防范恐怖袭击的各项职责。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公安机关、中国人民武装警察部队应当依照有关规定对重点目标进行警戒、巡逻、检查。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第三十七条飞行管制、民用航空、公安等主管部门应当按照职责分工，加强空域、航空器和飞行活动管理，严密防范针对航空器或者利用飞行活动实施的恐怖活动。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第三十八条各级人民政府和军事机关应当在重点国</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边</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境地段和口岸设置拦阻隔离网、视频图像采集和防越境报警设施。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公安机关和中国人民解放军应当严密组织国</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边</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境巡逻，依照规定对抵离国</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边</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境前沿、进出国</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边</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境管理区和国</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边</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境通道、口岸的人员、交通运输工具、物品，以及沿海沿边地区的船舶进行查验。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第三十九条出入境证件签发机关、出入境边防检查机关对恐怖活动人员和恐怖活动嫌疑人员，有权决定不准其出境入境、不予签发出境入境证件或者宣布其出境入境证件作废。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第四十条海关、出入境边防检查机关发现恐怖活动嫌疑人员或者涉嫌恐怖活动物品的，应当依法扣留，并立即移送公安机关或者国家安全机关。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检验检疫机关发现涉嫌恐怖活动物品的，应当依法扣留，并立即移送公安机关或者国家安全机关。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一条国务院外交、公安、国家安全、发展改革、工业和信息化、商务、旅游等主管部门应当建立境外投资合作、旅游等安全风险评估制度，对中国在境外的公民以及驻外机构、设施、财产加强安全保护，防范和应对恐怖袭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第四十二条驻外机构应当建立健全安全防范制度和应对处置预案，加强对有关人员、设施、财产的安全保护。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情报信息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第四十三条国家反恐怖主义工作领导机构建立国家反恐怖主义情报中心，实行跨部门、跨地区情报信息工作机制，统筹反恐怖主义情报信息工作。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有关部门应当加强反恐怖主义情报信息搜集工作，对搜集的有关线索、人员、行动类情报信息，应当依照规定及时统一归口报送国家反恐怖主义情报中心。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第四十四条公安机关、国家安全机关和有关部门应当依靠群众，加强基层基础工作，建立基层情报信息工作力量，提高反恐怖主义情报信息工作能力。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第四十五条公安机关、国家安全机关、军事机关在其职责范围内，因反恐怖主义情报信息工作的需要，根据国家有关规定，经过严格的批准手续，可以采取技术侦察措施。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依照前款规定获取的材料，只能用于反恐怖主义应对处置和对恐怖活动犯罪、极端主义犯罪的侦查、起诉和审判，不得用于其他用途。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第四十六条有关部门对于在本法第三章规定的安全防范工作中获取的信息，应当根据国家反恐怖主义情报中心的要求，及时提供。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七条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第四十八条反恐怖主义工作领导机构、有关部门和单位、个人应当对履行反恐怖主义工作职责、义务过程中知悉的国家秘密、商业秘密和个人隐私予以保密。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违反规定泄露国家秘密、商业秘密和个人隐私的，依法追究法律责任。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调查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第四十九条公安机关接到恐怖活动嫌疑的报告或者发现恐怖活动嫌疑，需要调查核实的，应当迅速进行调查。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条公安机关调查恐怖活动嫌疑，可以依照有关法律规定对嫌疑人员进行盘问、检查、传唤，可以提取或者采集肖像、指纹、虹膜图像等人体生物识别信息和血液、尿液、脱落细胞等生物样本，并留存其签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公安机关调查恐怖活动嫌疑，可以通知了解有关情况的人员到公安机关或者其他地点接受询问。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第五十一条公安机关调查恐怖活动嫌疑，有权向有关单位和个人收集、调取相关信息和材料。有关单位和个人应当如实提供。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二条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第五十三条公安机关调查恐怖活动嫌疑，经县级以上公安机关负责人批准，可以根据其危险程度，责令恐怖活动嫌疑人员遵守下列一项或者多项约束措施：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未经公安机关批准不得离开所居住的市、县或者指定的处所；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不得参加大型群众性活动或者从事特定的活动；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未经公安机关批准不得乘坐公共交通工具或者进入特定的场所；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不得与特定的人员会见或者通信；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定期向公安机关报告活动情况；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将护照等出入境证件、身份证件、驾驶证件交公安机关保存。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公安机关可以采取电子监控、不定期检查等方式对其遵守约束措施的情况进行监督。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采取前两款规定的约束措施的期限不得超过三个月。对不需要继续采取约束措施的，应当及时解除。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第五十四条公安机关经调查，发现犯罪事实或者犯罪嫌疑人的，应当依照刑事诉讼法的规定立案侦查。本章规定的有关期限届满，公安机关未立案侦查的，应当解除有关措施。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应对处置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第五十五条国家建立健全恐怖事件应对处置预案体系。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有关部门、地方反恐怖主义工作领导机构应当制定相应的应对处置预案。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六条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七条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上级反恐怖主义工作领导机构可以对应对处置工作进行指导，必要时调动有关反恐怖主义力量进行支援。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需要进入紧急状态的，由全国人民代表大会常务委员会或者国务院依照宪法和其他有关法律规定的权限和程序决定。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八条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指挥长确定后，现场指挥员应当向其请示、报告工作或者有关情况。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九条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中华人民共和国在境外的机构、人员、重要设施遭受严重恐怖袭击后，经与有关国家协商同意，国家反恐怖主义工作领导机构可以组织外交、公安、国家安全等部门派出工作人员赴境外开展应对处置工作。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第六十条应对处置恐怖事件，应当优先保护直接受到恐怖活动危害、威胁人员的人身安全。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第六十一条恐怖事件发生后，负责应对处置的反恐怖主义工作领导机构可以决定由有关部门和单位采取下列一项或者多项应对处置措施：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组织营救和救治受害人员，疏散、撤离并妥善安置受到威胁的人员以及采取其他救助措施；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封锁现场和周边道路，查验现场人员的身份证件，在有关场所附近设置临时警戒线；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在特定区域内实施空域、海</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水</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域管制，对特定区域内的交通运输工具进行检查；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在特定区域内实施互联网、无线电、通讯管制；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在特定区域内或者针对特定人员实施出境入境管制；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禁止或者限制使用有关设备、设施，关闭或者限制使用有关场所，中止人员密集的活动或者可能导致危害扩大的生产经营活动；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抢修被损坏的交通、电信、互联网、广播电视、供水、排水、供电、供气、供热等公共设施；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组织志愿人员参加反恐怖主义救援工作，要求具有特定专长的人员提供服务；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其他必要的应对处置措施。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二条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第六十三条恐怖事件发生、发展和应对处置信息，由恐怖事件发生地的省级反恐怖主义工作领导机构统一发布；跨省、自治区、直辖市发生的恐怖事件，由指定的省级反恐怖主义工作领导机构统一发布。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第六十四条恐怖事件应对处置结束后，各级人民政府应当组织有关部门帮助受影响的单位和个人尽快恢复生活、生产，稳定受影响地区的社会秩序和公众情绪。</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五条当地人民政府应当及时给予恐怖事件受害人员及其近亲属适当的救助，并向失去基本生活条件的受害人员及其近亲属及时提供基本生活保障。卫生、民政等主管部门应当为恐怖事件受害人员及其近亲属提供心理、医疗等方面的援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第六十六条公安机关应当及时对恐怖事件立案侦查，查明事件发生的原因、经过和结果，依法追究恐怖活动组织、人员的刑事责任。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第六十七条反恐怖主义工作领导机构应当对恐怖事件的发生和应对处置工作进行全面分析、总结评估，提出防范和应对处置改进措施，向上一级反恐怖主义工作领导机构报告。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第七章 国际合作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第六十八条中华人民共和国根据缔结或者参加的国际条约，或者按照平等互惠原则，与其他国家、地区、国际组织开展反恐怖主义合作。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第六十九条国务院有关部门根据国务院授权，代表中国政府与外国政府和有关国际组织开展反恐怖主义政策对话、情报信息交流、执法合作和国际资金监管合作。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在不违背我国法律的前提下，边境地区的县级以上地方人民政府及其主管部门，经国务院或者中央有关部门批准，可以与相邻国家或者地区开展反恐怖主义情报信息交流、执法合作和国际资金监管合作。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第七十条涉及恐怖活动犯罪的刑事司法协助、引渡和被判刑人移管，依照有关法律规定执行。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第七十一条经与有关国家达成协议，并报国务院批准，国务院公安部门、国家安全部门可以派员出境执行反恐怖主义任务。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中国人民解放军、中国人民武装警察部队派员出境执行反恐怖主义任务，由中央军事委员会批准。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第七十二条通过反恐怖主义国际合作取得的材料可以在行政处罚、刑事诉讼中作为证据使用，但我方承诺不作为证据使用的除外。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保障措施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第七十三条国务院和县级以上地方各级人民政府应当按照事权划分，将反恐怖主义工作经费分别列入同级财政预算。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国家对反恐怖主义重点地区给予必要的经费支持，对应对处置大规模恐怖事件给予经费保障。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第七十四条公安机关、国家安全机关和有关部门，以及中国人民解放军、中国人民武装警察部队，应当依照法律规定的职责，建立反恐怖主义专业力量，加强专业训练，配备必要的反恐怖主义专业设备、设施。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县级、乡级人民政府根据需要，指导有关单位、村民委员会、居民委员会建立反恐怖主义工作力量、志愿者队伍，协助、配合有关部门开展反恐怖主义工作。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第七十五条对因履行反恐怖主义工作职责或者协助、配合有关部门开展反恐怖主义工作导致伤残或者死亡的人员，按照国家有关规定给予相应的待遇。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六条因报告和制止恐怖活动，在恐怖活动犯罪案件中作证，或者从事反恐怖主义工作，本人或者其近亲属的人身安全面临危险的，经本人或者其近亲属提出申请，公安机关、有关部门应当采取下列一项或者多项保护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不公开真实姓名、住址和工作单位等个人信息；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禁止特定的人接触被保护人员；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对人身和住宅采取专门性保护措施；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变更被保护人员的姓名，重新安排住所和工作单位；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其他必要的保护措施。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公安机关、有关部门应当依照前款规定，采取不公开被保护单位的真实名称、地址，禁止特定的人接近被保护单位，对被保护单位办公、经营场所采取专门性保护措施，以及其他必要的保护措施。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第七十七条国家鼓励、支持反恐怖主义科学研究和技术创新，开发和推广使用先进的反恐怖主义技术、设备。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八条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因开展反恐怖主义工作对有关单位和个人的合法权益造成损害的，应当依法给予赔偿、补偿。有关单位和个人有权依法请求赔偿、补偿。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九条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第八十条参与下列活动之一，情节轻微，尚不构成犯罪的，由公安机关处十日以上十五日以下拘留，可以并处一万元以下罚款：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宣扬恐怖主义、极端主义或者煽动实施恐怖活动、极端主义活动的；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制作、传播、非法持有宣扬恐怖主义、极端主义的物品的；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强制他人在公共场所穿戴宣扬恐怖主义、极端主义的服饰、标志的；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为宣扬恐怖主义、极端主义或者实施恐怖主义、极端主义活动提供信息、资金、物资、劳务、技术、场所等支持、协助、便利的。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第八十一条利用极端主义，实施下列行为之一，情节轻微，尚不构成犯罪的，由公安机关处五日以上十五日以下拘留，可以并处一万元以下罚款：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强迫他人参加宗教活动，或者强迫他人向宗教活动场所、宗教教职人员提供财物或者劳务的；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以恐吓、骚扰等方式驱赶其他民族或者有其他信仰的人员离开居住地的；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以恐吓、骚扰等方式干涉他人与其他民族或者有其他信仰的人员交往、共同生活的；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以恐吓、骚扰等方式干涉他人生活习俗、方式和生产经营的；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阻碍国家机关工作人员依法执行职务的；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歪曲、诋毁国家政策、法律、行政法规，煽动、教唆抵制人民政府依法管理的；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煽动、胁迫群众损毁或者故意损毁居民身份证、户口簿等国家法定证件以及人民币的；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煽动、胁迫他人以宗教仪式取代结婚、离婚登记的；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煽动、胁迫未成年人不接受义务教育的；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其他利用极端主义破坏国家法律制度实施的。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二条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三条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四条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未依照规定为公安机关、国家安全机关依法进行防范、调查恐怖活动提供技术接口和解密等技术支持和协助的；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未按照主管部门的要求，停止传输、删除含有恐怖主义、极端主义内容的信息，保存相关记录，关闭相关网站或者关停相关服务的；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未落实网络安全、信息内容监督制度和安全技术防范措施，造成含有恐怖主义、极端主义内容的信息传播，情节严重的。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第八十五条铁路、公路、水上、航空的货运和邮政、快递等物流运营单位有下列情形之一的，由主管部门处十万元以上五十万元以下罚款，并对其直接负责的主管人员和其他直接责任人员处十万元以下罚款：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未实行安全查验制度，对客户身份进行查验，或者未依照规定对运输、寄递物品进行安全检查或者开封验视的；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对禁止运输、寄递，存在重大安全隐患，或者客户拒绝安全查验的物品予以运输、寄递的；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未实行运输、寄递客户身份、物品信息登记制度的。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六条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住宿、长途客运、机动车租赁等业务经营者、服务提供者有前款规定情形的，由主管部门处十万元以上五十万元以下罚款，并对其直接负责的主管人员和其他直接责任人员处十万元以下罚款。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第八十七条违反本法规定，有下列情形之一的，由主管部门给予警告，并责令改正；拒不改正的，处十万元以下罚款，并对其直接负责的主管人员和其他直接责任人员处一万元以下罚款：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未依照规定对枪支等武器、弹药、管制器具、危险化学品、民用爆炸物品、核与放射物品作出电子追踪标识，对民用爆炸物品添加安检示踪标识物的；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未依照规定对运营中的危险化学品、民用爆炸物品、核与放射物品的运输工具通过定位系统实行监控的；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未依照规定对传染病病原体等物质实行严格的监督管理，情节严重的；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违反国务院有关主管部门或者省级人民政府对管制器具、危险化学品、民用爆炸物品决定的管制或者限制交易措施的。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八条防范恐怖袭击重点目标的管理、营运单位违反本法规定，有下列情形之一的，由公安机关给予警告，并责令改正；拒不改正的，处十万元以下罚款，并对其直接负责的主管人员和其他直接责任人员处一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未制定防范和应对处置恐怖活动的预案、措施的；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未建立反恐怖主义工作专项经费保障制度，或者未配备防范和处置设备、设施的；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未落实工作机构或者责任人员的；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未对重要岗位人员进行安全背景审查，或者未将有不适合情形的人员调整工作岗位的；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对公共交通运输工具未依照规定配备安保人员和相应设备、设施的；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未建立公共安全视频图像信息系统值班监看、信息保存使用、运行维护等管理制度的。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第八十九条恐怖活动嫌疑人员违反公安机关责令其遵守的约束措施的，由公安机关给予警告，并责令改正；拒不改正的，处五日以上十五日以下拘留。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条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个人有前款规定行为的，由公安机关处五日以上十五日以下拘留，可以并处一万元以下罚款。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第九十一条拒不配合有关部门开展反恐怖主义安全防范、情报信息、调查、应对处置工作的，由主管部门处二千元以下罚款；造成严重后果的，处五日以上十五日以下拘留，可以并处一万元以下罚款。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单位有前款规定行为的，由主管部门处五万元以下罚款；造成严重后果的，处十万元以下罚款；并对其直接负责的主管人员和其他直接责任人员依照前款规定处罚。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第九十二条阻碍有关部门开展反恐怖主义工作的，由公安机关处五日以上十五日以下拘留，可以并处五万元以下罚款。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单位有前款规定行为的，由公安机关处二十万元以下罚款，并对其直接负责的主管人员和其他直接责任人员依照前款规定处罚。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阻碍人民警察、人民解放军、人民武装警察依法执行职务的，从重处罚。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第九十三条单位违反本法规定，情节严重的，由主管部门责令停止从事相关业务、提供相关服务或者责令停产停业；造成严重后果的，吊销有关证照或者撤销登记。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四条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第九十五条对依照本法规定查封、扣押、冻结、扣留、收缴的物品、资金等，经审查发现与恐怖主义无关的，应当及时解除有关措施，予以退还。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第九十六条有关单位和个人对依照本法作出的行政处罚和行政强制措施决定不服的，可以依法申请行政复议或者提起行政诉讼。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第十章 附则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第九十七条本法自</w:t>
      </w:r>
      <w:r>
        <w:rPr>
          <w:rFonts w:hint="eastAsia" w:ascii="仿宋_GB2312" w:hAnsi="仿宋_GB2312" w:eastAsia="仿宋_GB2312" w:cs="仿宋_GB2312"/>
          <w:sz w:val="32"/>
          <w:szCs w:val="32"/>
          <w:lang w:val="en-US"/>
        </w:rPr>
        <w:t>2016</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日起施行。</w:t>
      </w:r>
      <w:r>
        <w:rPr>
          <w:rFonts w:hint="eastAsia" w:ascii="仿宋_GB2312" w:hAnsi="仿宋_GB2312" w:eastAsia="仿宋_GB2312" w:cs="仿宋_GB2312"/>
          <w:sz w:val="32"/>
          <w:szCs w:val="32"/>
          <w:lang w:val="en-US"/>
        </w:rPr>
        <w:t>2011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rPr>
        <w:t>29</w:t>
      </w:r>
      <w:r>
        <w:rPr>
          <w:rFonts w:hint="eastAsia" w:ascii="仿宋_GB2312" w:hAnsi="仿宋_GB2312" w:eastAsia="仿宋_GB2312" w:cs="仿宋_GB2312"/>
          <w:sz w:val="32"/>
          <w:szCs w:val="32"/>
        </w:rPr>
        <w:t>日第十一届全国人民代表大会常务委员会第二十三次会议通过的《全国人民代表大会常务委员会关于加强反恐怖工作有关问题的决定》同时废止。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4C41E3"/>
    <w:rsid w:val="044C4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微软雅黑" w:hAnsi="微软雅黑" w:eastAsia="微软雅黑" w:cs="微软雅黑"/>
      <w:color w:val="333333"/>
      <w:sz w:val="24"/>
      <w:szCs w:val="24"/>
      <w:u w:val="none"/>
    </w:rPr>
  </w:style>
  <w:style w:type="character" w:styleId="7">
    <w:name w:val="Hyperlink"/>
    <w:basedOn w:val="4"/>
    <w:uiPriority w:val="0"/>
    <w:rPr>
      <w:rFonts w:ascii="微软雅黑" w:hAnsi="微软雅黑" w:eastAsia="微软雅黑" w:cs="微软雅黑"/>
      <w:color w:val="333333"/>
      <w:sz w:val="24"/>
      <w:szCs w:val="24"/>
      <w:u w:val="none"/>
    </w:rPr>
  </w:style>
  <w:style w:type="character" w:customStyle="1" w:styleId="8">
    <w:name w:val="item-name"/>
    <w:basedOn w:val="4"/>
    <w:uiPriority w:val="0"/>
    <w:rPr>
      <w:bdr w:val="none" w:color="auto" w:sz="0" w:space="0"/>
    </w:rPr>
  </w:style>
  <w:style w:type="character" w:customStyle="1" w:styleId="9">
    <w:name w:val="item-name1"/>
    <w:basedOn w:val="4"/>
    <w:uiPriority w:val="0"/>
    <w:rPr>
      <w:bdr w:val="none" w:color="auto" w:sz="0" w:space="0"/>
    </w:rPr>
  </w:style>
  <w:style w:type="character" w:customStyle="1" w:styleId="10">
    <w:name w:val="column_name"/>
    <w:basedOn w:val="4"/>
    <w:uiPriority w:val="0"/>
    <w:rPr>
      <w:sz w:val="30"/>
      <w:szCs w:val="30"/>
    </w:rPr>
  </w:style>
  <w:style w:type="character" w:customStyle="1" w:styleId="11">
    <w:name w:val="article_title1"/>
    <w:basedOn w:val="4"/>
    <w:uiPriority w:val="0"/>
    <w:rPr>
      <w:rFonts w:hint="eastAsia" w:ascii="微软雅黑" w:hAnsi="微软雅黑" w:eastAsia="微软雅黑" w:cs="微软雅黑"/>
      <w:b/>
      <w:sz w:val="24"/>
      <w:szCs w:val="24"/>
    </w:rPr>
  </w:style>
  <w:style w:type="character" w:customStyle="1" w:styleId="12">
    <w:name w:val="wp_visitcount1"/>
    <w:basedOn w:val="4"/>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2019-12-25T07:55:00Z</dcterms:created>
  <dc:creator>淑婕</dc:creator>
  <cp:lastModifiedBy>淑婕</cp:lastModifiedBy>
  <dcterms:modified xsi:type="dcterms:W3CDTF">2019-12-25T08:03:11Z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